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[silent]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Asplen,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shout-out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TRACKtech,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Q&amp;A.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Lopez-Canseco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approximately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day-to-day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$850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quote-unquote,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magnificent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$850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sanitizer,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abbreviated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knee-deep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incarceration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Tele-supervision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accelerating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tele-supervision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house-arrest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mid-1980s.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24/7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kiosks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breathalyzer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well-established.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breathalyzers,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DWI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transdermal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bracelets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hands-off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clientele.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Nebraska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sheriff's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tele-supervision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ubiquity.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'60s.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breathalyzer,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internet-enabled.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fingertips.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built-in,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triangulation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seamlessly,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overstated.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peripherals.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ubiquity.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Anecdotally,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product-centered.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client-initiated.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biometric,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Bluetooth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bracelet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proximity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pro-social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peripherals.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peripherals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breathalyzer.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breathalyzer.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gamification.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welfare.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overstated,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refrigerator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refrigerator,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clientele.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face-to-face,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misconnections.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built-for-purpose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R&amp;D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consumer-driven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Samsung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built-in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breathalyzer.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preliminary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endorsements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forbidden.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unbeknownst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whereabouts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So-and-so,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whereabouts."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whereabouts.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reconciled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attaboys,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face-to-face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reprimand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recidivism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clientele,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bracelets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circumvented.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tethered,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reintegration.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00:44:35].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Corollary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infractions?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fine-tune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fine-tuning,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anomalies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siloed,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corollary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duplicity.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tele-supervision,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time-consuming.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backfire.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caseload.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low-risk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low-risk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higher-risk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low-risk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workload,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00:58:37].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adequately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Russo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Lopez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